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1E35" w14:textId="77777777" w:rsidR="00531BB9" w:rsidRDefault="00531BB9" w:rsidP="00A62458">
      <w:pPr>
        <w:pStyle w:val="Koptekst"/>
        <w:rPr>
          <w:b/>
        </w:rPr>
      </w:pPr>
    </w:p>
    <w:p w14:paraId="537F1E36" w14:textId="77777777" w:rsidR="00531BB9" w:rsidRDefault="00531BB9" w:rsidP="00A62458">
      <w:pPr>
        <w:pStyle w:val="Koptekst"/>
        <w:rPr>
          <w:b/>
        </w:rPr>
      </w:pPr>
    </w:p>
    <w:p w14:paraId="67BEE5B8" w14:textId="25966E08" w:rsidR="00EE0345" w:rsidRPr="0086397F" w:rsidRDefault="009E00E3" w:rsidP="00A62458">
      <w:pPr>
        <w:pStyle w:val="Koptekst"/>
        <w:rPr>
          <w:rFonts w:asciiTheme="minorHAnsi" w:hAnsiTheme="minorHAnsi" w:cstheme="minorHAnsi"/>
          <w:b/>
          <w:color w:val="1F497D" w:themeColor="text2"/>
          <w:sz w:val="24"/>
          <w:szCs w:val="24"/>
        </w:rPr>
      </w:pPr>
      <w:r w:rsidRPr="0086397F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Pre-Conference Workshop: International Regulatory Collaborative Initiatives: Reliance, Work-Sharing - Strategic Regulatory Pathways</w:t>
      </w:r>
    </w:p>
    <w:p w14:paraId="272F1437" w14:textId="77777777" w:rsidR="009E00E3" w:rsidRDefault="009E00E3" w:rsidP="00A62458">
      <w:pPr>
        <w:pStyle w:val="Koptekst"/>
        <w:rPr>
          <w:b/>
          <w:sz w:val="28"/>
          <w:szCs w:val="28"/>
        </w:rPr>
      </w:pPr>
    </w:p>
    <w:p w14:paraId="5C39D3BD" w14:textId="77777777" w:rsidR="009E00E3" w:rsidRPr="009E00E3" w:rsidRDefault="009E00E3" w:rsidP="009E00E3">
      <w:pPr>
        <w:pStyle w:val="Koptekst"/>
        <w:rPr>
          <w:bCs/>
        </w:rPr>
      </w:pPr>
      <w:r w:rsidRPr="009E00E3">
        <w:rPr>
          <w:bCs/>
        </w:rPr>
        <w:t>Workshop Leader:  Mercè Caturla Goñi, PhD – Director, Global Regulatory Affairs</w:t>
      </w:r>
    </w:p>
    <w:p w14:paraId="317CD333" w14:textId="77777777" w:rsidR="009E00E3" w:rsidRPr="009E00E3" w:rsidRDefault="009E00E3" w:rsidP="009E00E3">
      <w:pPr>
        <w:pStyle w:val="Koptekst"/>
        <w:rPr>
          <w:bCs/>
        </w:rPr>
      </w:pPr>
      <w:r w:rsidRPr="009E00E3">
        <w:rPr>
          <w:bCs/>
        </w:rPr>
        <w:t>Workshop Leader:  Beate R. Schmidt, MSc, MDRA, RAC – Consultant, Benefits Regulatory Consulting</w:t>
      </w:r>
    </w:p>
    <w:p w14:paraId="1CBF27B1" w14:textId="77777777" w:rsidR="009E00E3" w:rsidRPr="009E00E3" w:rsidRDefault="009E00E3" w:rsidP="009E00E3">
      <w:pPr>
        <w:pStyle w:val="Koptekst"/>
        <w:rPr>
          <w:bCs/>
        </w:rPr>
      </w:pPr>
      <w:r w:rsidRPr="009E00E3">
        <w:rPr>
          <w:bCs/>
        </w:rPr>
        <w:t>Workshop Leader:  Alexandra Eckhoff – Sanofi</w:t>
      </w:r>
    </w:p>
    <w:p w14:paraId="6C6274CF" w14:textId="77777777" w:rsidR="009E00E3" w:rsidRPr="009E00E3" w:rsidRDefault="009E00E3" w:rsidP="009E00E3">
      <w:pPr>
        <w:pStyle w:val="Koptekst"/>
        <w:rPr>
          <w:bCs/>
        </w:rPr>
      </w:pPr>
      <w:r w:rsidRPr="009E00E3">
        <w:rPr>
          <w:bCs/>
        </w:rPr>
        <w:t>Speaker:  Victoria Palmi Reig – International Affairs, European Medicines Agency (EMA)</w:t>
      </w:r>
    </w:p>
    <w:p w14:paraId="18281C4B" w14:textId="77777777" w:rsidR="009E00E3" w:rsidRPr="009E00E3" w:rsidRDefault="009E00E3" w:rsidP="009E00E3">
      <w:pPr>
        <w:pStyle w:val="Koptekst"/>
        <w:rPr>
          <w:bCs/>
        </w:rPr>
      </w:pPr>
      <w:r w:rsidRPr="009E00E3">
        <w:rPr>
          <w:bCs/>
        </w:rPr>
        <w:t>Speaker:  Tasneem Fatima Keshavji – Head of International Recognition, MHRA</w:t>
      </w:r>
    </w:p>
    <w:p w14:paraId="55D21CB9" w14:textId="77777777" w:rsidR="009E00E3" w:rsidRPr="009E00E3" w:rsidRDefault="009E00E3" w:rsidP="009E00E3">
      <w:pPr>
        <w:pStyle w:val="Koptekst"/>
        <w:rPr>
          <w:bCs/>
        </w:rPr>
      </w:pPr>
      <w:r w:rsidRPr="009E00E3">
        <w:rPr>
          <w:bCs/>
        </w:rPr>
        <w:t xml:space="preserve">Speaker:  Cornelia Bigler, MSc, PhD – Deputy Head Unit 4, Regulatory Assessment, </w:t>
      </w:r>
      <w:proofErr w:type="spellStart"/>
      <w:r w:rsidRPr="009E00E3">
        <w:rPr>
          <w:bCs/>
        </w:rPr>
        <w:t>Swissmedic</w:t>
      </w:r>
      <w:proofErr w:type="spellEnd"/>
    </w:p>
    <w:p w14:paraId="016C91E6" w14:textId="78A4B6E0" w:rsidR="009E00E3" w:rsidRPr="009E00E3" w:rsidRDefault="009E00E3" w:rsidP="009E00E3">
      <w:pPr>
        <w:pStyle w:val="Koptekst"/>
        <w:rPr>
          <w:bCs/>
        </w:rPr>
      </w:pPr>
      <w:r w:rsidRPr="009E00E3">
        <w:rPr>
          <w:bCs/>
        </w:rPr>
        <w:t>Speaker:  Sergio Cavalheiro Filho, PharmD – Manager, Regulatory Affairs, IFPMA</w:t>
      </w:r>
    </w:p>
    <w:p w14:paraId="0233534B" w14:textId="77777777" w:rsidR="009E00E3" w:rsidRPr="00614847" w:rsidRDefault="009E00E3" w:rsidP="009E00E3">
      <w:pPr>
        <w:pStyle w:val="Koptekst"/>
        <w:rPr>
          <w:b/>
        </w:rPr>
      </w:pPr>
    </w:p>
    <w:p w14:paraId="487F7710" w14:textId="509DDDC2" w:rsidR="0086397F" w:rsidRDefault="0086397F" w:rsidP="0086397F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</w:pPr>
      <w:r w:rsidRPr="002D79F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 xml:space="preserve">Room: 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>5B, 1</w:t>
      </w:r>
      <w:r w:rsidRPr="0086397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vertAlign w:val="superscript"/>
          <w:lang w:eastAsia="zh-CN"/>
        </w:rPr>
        <w:t>ST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  <w:t xml:space="preserve"> floor</w:t>
      </w:r>
    </w:p>
    <w:p w14:paraId="483C2F46" w14:textId="77777777" w:rsidR="0086397F" w:rsidRPr="002D79FE" w:rsidRDefault="0086397F" w:rsidP="0086397F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zh-CN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7011"/>
      </w:tblGrid>
      <w:tr w:rsidR="00A62458" w:rsidRPr="003E07E6" w14:paraId="537F1E3C" w14:textId="77777777" w:rsidTr="0004388C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F1E39" w14:textId="5CF4C682" w:rsidR="00A62458" w:rsidRPr="003E07E6" w:rsidRDefault="00C51C47" w:rsidP="00D009C0">
            <w:pPr>
              <w:spacing w:after="0" w:line="240" w:lineRule="auto"/>
              <w:ind w:right="-288"/>
              <w:rPr>
                <w:rFonts w:cs="Arial"/>
                <w:b/>
                <w:color w:val="1F497D" w:themeColor="text2"/>
                <w:sz w:val="24"/>
                <w:szCs w:val="24"/>
              </w:rPr>
            </w:pPr>
            <w:r w:rsidRPr="003E07E6">
              <w:rPr>
                <w:rFonts w:cs="Arial"/>
                <w:b/>
                <w:color w:val="1F497D" w:themeColor="text2"/>
                <w:sz w:val="24"/>
                <w:szCs w:val="24"/>
              </w:rPr>
              <w:t>8:00</w:t>
            </w:r>
            <w:r w:rsidR="00F166A1" w:rsidRPr="003E07E6">
              <w:rPr>
                <w:rFonts w:cs="Arial"/>
                <w:b/>
                <w:color w:val="1F497D" w:themeColor="text2"/>
                <w:sz w:val="24"/>
                <w:szCs w:val="24"/>
              </w:rPr>
              <w:t xml:space="preserve"> – 8:30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F1E3A" w14:textId="0F7F5DFD" w:rsidR="00A62458" w:rsidRPr="003E07E6" w:rsidRDefault="00A62458" w:rsidP="00D009C0">
            <w:pPr>
              <w:spacing w:after="0" w:line="240" w:lineRule="auto"/>
              <w:rPr>
                <w:rFonts w:cs="Arial"/>
                <w:b/>
                <w:color w:val="1F497D" w:themeColor="text2"/>
                <w:sz w:val="24"/>
                <w:szCs w:val="24"/>
              </w:rPr>
            </w:pPr>
            <w:r w:rsidRPr="003E07E6">
              <w:rPr>
                <w:rFonts w:cs="Arial"/>
                <w:b/>
                <w:color w:val="1F497D" w:themeColor="text2"/>
                <w:sz w:val="24"/>
                <w:szCs w:val="24"/>
              </w:rPr>
              <w:t>Registration</w:t>
            </w:r>
          </w:p>
          <w:p w14:paraId="537F1E3B" w14:textId="77777777" w:rsidR="00A62458" w:rsidRPr="003E07E6" w:rsidRDefault="00A62458" w:rsidP="00D009C0">
            <w:pPr>
              <w:spacing w:after="0" w:line="240" w:lineRule="auto"/>
              <w:rPr>
                <w:rFonts w:cs="Arial"/>
                <w:b/>
                <w:color w:val="1F497D" w:themeColor="text2"/>
                <w:sz w:val="24"/>
                <w:szCs w:val="24"/>
              </w:rPr>
            </w:pPr>
          </w:p>
        </w:tc>
      </w:tr>
      <w:tr w:rsidR="00A62458" w:rsidRPr="003E07E6" w14:paraId="537F1E45" w14:textId="77777777" w:rsidTr="0004388C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F1E3D" w14:textId="47261B1E" w:rsidR="00A62458" w:rsidRPr="003E07E6" w:rsidRDefault="007618E2" w:rsidP="00D009C0">
            <w:pPr>
              <w:spacing w:after="0" w:line="240" w:lineRule="auto"/>
              <w:ind w:right="-288"/>
              <w:rPr>
                <w:rFonts w:cs="Arial"/>
                <w:b/>
                <w:sz w:val="24"/>
                <w:szCs w:val="24"/>
              </w:rPr>
            </w:pPr>
            <w:r w:rsidRPr="003E07E6">
              <w:rPr>
                <w:rFonts w:cs="Arial"/>
                <w:b/>
                <w:sz w:val="24"/>
                <w:szCs w:val="24"/>
              </w:rPr>
              <w:t>8</w:t>
            </w:r>
            <w:r w:rsidR="00A62458" w:rsidRPr="003E07E6">
              <w:rPr>
                <w:rFonts w:cs="Arial"/>
                <w:b/>
                <w:sz w:val="24"/>
                <w:szCs w:val="24"/>
              </w:rPr>
              <w:t>:</w:t>
            </w:r>
            <w:r w:rsidRPr="003E07E6">
              <w:rPr>
                <w:rFonts w:cs="Arial"/>
                <w:b/>
                <w:sz w:val="24"/>
                <w:szCs w:val="24"/>
              </w:rPr>
              <w:t>3</w:t>
            </w:r>
            <w:r w:rsidR="00A62458" w:rsidRPr="003E07E6">
              <w:rPr>
                <w:rFonts w:cs="Arial"/>
                <w:b/>
                <w:sz w:val="24"/>
                <w:szCs w:val="24"/>
              </w:rPr>
              <w:t xml:space="preserve">0 </w:t>
            </w:r>
            <w:r w:rsidR="009809F9" w:rsidRPr="003E07E6">
              <w:rPr>
                <w:rFonts w:cs="Arial"/>
                <w:b/>
                <w:sz w:val="24"/>
                <w:szCs w:val="24"/>
              </w:rPr>
              <w:t>– 10:</w:t>
            </w:r>
            <w:r w:rsidR="0004388C" w:rsidRPr="003E07E6">
              <w:rPr>
                <w:rFonts w:cs="Arial"/>
                <w:b/>
                <w:sz w:val="24"/>
                <w:szCs w:val="24"/>
              </w:rPr>
              <w:t>30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1E3E" w14:textId="0EEF583B" w:rsidR="00407B60" w:rsidRDefault="00407B60" w:rsidP="00407B60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3E07E6">
              <w:rPr>
                <w:rFonts w:cs="Arial"/>
                <w:b/>
                <w:sz w:val="24"/>
                <w:szCs w:val="24"/>
              </w:rPr>
              <w:t xml:space="preserve">Session </w:t>
            </w:r>
            <w:r w:rsidR="007F00AE" w:rsidRPr="003E07E6">
              <w:rPr>
                <w:rFonts w:cs="Arial"/>
                <w:b/>
                <w:sz w:val="24"/>
                <w:szCs w:val="24"/>
              </w:rPr>
              <w:t xml:space="preserve">block </w:t>
            </w:r>
            <w:r w:rsidRPr="003E07E6">
              <w:rPr>
                <w:rFonts w:cs="Arial"/>
                <w:b/>
                <w:sz w:val="24"/>
                <w:szCs w:val="24"/>
              </w:rPr>
              <w:t>1</w:t>
            </w:r>
            <w:r w:rsidR="007F00AE" w:rsidRPr="003E07E6">
              <w:rPr>
                <w:rFonts w:cs="Arial"/>
                <w:b/>
                <w:sz w:val="24"/>
                <w:szCs w:val="24"/>
              </w:rPr>
              <w:t>:</w:t>
            </w:r>
          </w:p>
          <w:p w14:paraId="039F2A04" w14:textId="16C7CA57" w:rsidR="005F7654" w:rsidRDefault="005F7654" w:rsidP="0099627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5F7654">
              <w:rPr>
                <w:rFonts w:cs="Arial"/>
              </w:rPr>
              <w:t>Welcome and i</w:t>
            </w:r>
            <w:r w:rsidR="00F948DD" w:rsidRPr="005F7654">
              <w:rPr>
                <w:rFonts w:cs="Arial"/>
              </w:rPr>
              <w:t>ntroduction</w:t>
            </w:r>
            <w:r w:rsidR="000D173C">
              <w:rPr>
                <w:rFonts w:cs="Arial"/>
              </w:rPr>
              <w:t>s</w:t>
            </w:r>
            <w:r w:rsidR="00C557FB">
              <w:rPr>
                <w:rFonts w:cs="Arial"/>
              </w:rPr>
              <w:t xml:space="preserve"> (20 min)</w:t>
            </w:r>
          </w:p>
          <w:p w14:paraId="3356FC4A" w14:textId="24346D5A" w:rsidR="00F911D3" w:rsidRPr="00F911D3" w:rsidRDefault="005F7654" w:rsidP="00F911D3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Presentations on </w:t>
            </w:r>
            <w:r w:rsidR="00F911D3">
              <w:rPr>
                <w:rFonts w:cs="Arial"/>
              </w:rPr>
              <w:t>reliance and work</w:t>
            </w:r>
            <w:r w:rsidR="00C61972">
              <w:rPr>
                <w:rFonts w:cs="Arial"/>
              </w:rPr>
              <w:t>-</w:t>
            </w:r>
            <w:r w:rsidR="00F911D3">
              <w:rPr>
                <w:rFonts w:cs="Arial"/>
              </w:rPr>
              <w:t>sharing initiatives (industry and regulator</w:t>
            </w:r>
            <w:r w:rsidR="00B73A1B">
              <w:rPr>
                <w:rFonts w:cs="Arial"/>
              </w:rPr>
              <w:t>s’</w:t>
            </w:r>
            <w:r w:rsidR="00F911D3">
              <w:rPr>
                <w:rFonts w:cs="Arial"/>
              </w:rPr>
              <w:t xml:space="preserve"> perspectives)</w:t>
            </w:r>
            <w:r w:rsidR="009E7785">
              <w:rPr>
                <w:rFonts w:cs="Arial"/>
              </w:rPr>
              <w:t xml:space="preserve"> (20 min per speaker)</w:t>
            </w:r>
          </w:p>
          <w:p w14:paraId="5F2A2B79" w14:textId="77777777" w:rsidR="00A62458" w:rsidRPr="009D7BB0" w:rsidRDefault="00A62458" w:rsidP="00EE0345">
            <w:pPr>
              <w:spacing w:after="0" w:line="240" w:lineRule="auto"/>
              <w:rPr>
                <w:rFonts w:cs="Arial"/>
              </w:rPr>
            </w:pPr>
          </w:p>
          <w:p w14:paraId="7ED89C36" w14:textId="77777777" w:rsidR="001C3C0C" w:rsidRPr="009D7BB0" w:rsidRDefault="00F124DF" w:rsidP="00EE0345">
            <w:pPr>
              <w:spacing w:after="0" w:line="240" w:lineRule="auto"/>
              <w:rPr>
                <w:rFonts w:cs="Arial"/>
                <w:b/>
              </w:rPr>
            </w:pPr>
            <w:r w:rsidRPr="009D7BB0">
              <w:rPr>
                <w:rFonts w:cs="Arial"/>
                <w:b/>
              </w:rPr>
              <w:t>Speaker Names:</w:t>
            </w:r>
          </w:p>
          <w:p w14:paraId="0B21A3A8" w14:textId="0B2619D6" w:rsidR="00415A95" w:rsidRPr="009D7BB0" w:rsidRDefault="00415A95" w:rsidP="000F1AF9">
            <w:pPr>
              <w:spacing w:after="0" w:line="240" w:lineRule="auto"/>
              <w:rPr>
                <w:rFonts w:cs="Arial"/>
                <w:bCs/>
              </w:rPr>
            </w:pPr>
            <w:r w:rsidRPr="009D7BB0">
              <w:rPr>
                <w:rFonts w:cs="Arial"/>
                <w:bCs/>
              </w:rPr>
              <w:t>Alexandra Eckhoff – Sanofi</w:t>
            </w:r>
          </w:p>
          <w:p w14:paraId="62F36AE9" w14:textId="0C52D3CF" w:rsidR="000F1AF9" w:rsidRPr="009D7BB0" w:rsidRDefault="000F1AF9" w:rsidP="000F1AF9">
            <w:pPr>
              <w:spacing w:after="0" w:line="240" w:lineRule="auto"/>
              <w:rPr>
                <w:rFonts w:cs="Arial"/>
                <w:bCs/>
              </w:rPr>
            </w:pPr>
            <w:r w:rsidRPr="009D7BB0">
              <w:rPr>
                <w:rFonts w:cs="Arial"/>
                <w:bCs/>
              </w:rPr>
              <w:t xml:space="preserve">Victoria Palmi Reig – </w:t>
            </w:r>
            <w:r w:rsidR="00771C90" w:rsidRPr="009D7BB0">
              <w:rPr>
                <w:rFonts w:cs="Arial"/>
                <w:bCs/>
              </w:rPr>
              <w:t xml:space="preserve">International Affairs, </w:t>
            </w:r>
            <w:r w:rsidRPr="009D7BB0">
              <w:rPr>
                <w:rFonts w:cs="Arial"/>
                <w:bCs/>
              </w:rPr>
              <w:t>EMA</w:t>
            </w:r>
          </w:p>
          <w:p w14:paraId="2F594848" w14:textId="0A077B8A" w:rsidR="000F1AF9" w:rsidRPr="009D7BB0" w:rsidRDefault="000F1AF9" w:rsidP="000F1AF9">
            <w:pPr>
              <w:spacing w:after="0" w:line="240" w:lineRule="auto"/>
              <w:rPr>
                <w:rFonts w:cs="Arial"/>
                <w:bCs/>
              </w:rPr>
            </w:pPr>
            <w:r w:rsidRPr="009D7BB0">
              <w:rPr>
                <w:rFonts w:cs="Arial"/>
                <w:bCs/>
              </w:rPr>
              <w:t xml:space="preserve">Tasneem Fatima Keshavji – </w:t>
            </w:r>
            <w:r w:rsidR="007F5518">
              <w:rPr>
                <w:rFonts w:cs="Arial"/>
                <w:bCs/>
              </w:rPr>
              <w:t xml:space="preserve">Head of International Recognition, </w:t>
            </w:r>
            <w:r w:rsidRPr="009D7BB0">
              <w:rPr>
                <w:rFonts w:cs="Arial"/>
                <w:bCs/>
              </w:rPr>
              <w:t>MHRA</w:t>
            </w:r>
          </w:p>
          <w:p w14:paraId="0F36D19E" w14:textId="087538F2" w:rsidR="000F1AF9" w:rsidRPr="009D7BB0" w:rsidRDefault="000F1AF9" w:rsidP="000F1AF9">
            <w:pPr>
              <w:spacing w:after="0" w:line="240" w:lineRule="auto"/>
              <w:rPr>
                <w:rFonts w:cs="Arial"/>
                <w:bCs/>
              </w:rPr>
            </w:pPr>
            <w:r w:rsidRPr="009D7BB0">
              <w:rPr>
                <w:rFonts w:cs="Arial"/>
                <w:bCs/>
              </w:rPr>
              <w:t xml:space="preserve">Cornelia Bigler – </w:t>
            </w:r>
            <w:r w:rsidR="007F5518">
              <w:rPr>
                <w:rFonts w:cs="Arial"/>
                <w:bCs/>
              </w:rPr>
              <w:t>D</w:t>
            </w:r>
            <w:r w:rsidR="008D57F5">
              <w:rPr>
                <w:rFonts w:cs="Arial"/>
                <w:bCs/>
              </w:rPr>
              <w:t xml:space="preserve">eputy Head Unit 4, Regulatory Assessment, </w:t>
            </w:r>
            <w:proofErr w:type="spellStart"/>
            <w:r w:rsidRPr="009D7BB0">
              <w:rPr>
                <w:rFonts w:cs="Arial"/>
                <w:bCs/>
              </w:rPr>
              <w:t>Swissmedic</w:t>
            </w:r>
            <w:proofErr w:type="spellEnd"/>
          </w:p>
          <w:p w14:paraId="28668AE7" w14:textId="5F593DCB" w:rsidR="00F124DF" w:rsidRDefault="000F1AF9" w:rsidP="000F1AF9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9D7BB0">
              <w:rPr>
                <w:rFonts w:cs="Arial"/>
                <w:bCs/>
              </w:rPr>
              <w:t>Sergio Cavalheiro Filho –</w:t>
            </w:r>
            <w:r w:rsidR="008D57F5">
              <w:rPr>
                <w:rFonts w:cs="Arial"/>
                <w:bCs/>
              </w:rPr>
              <w:t xml:space="preserve"> Manager, Regulatory Affairs,</w:t>
            </w:r>
            <w:r w:rsidRPr="009D7BB0">
              <w:rPr>
                <w:rFonts w:cs="Arial"/>
                <w:bCs/>
              </w:rPr>
              <w:t xml:space="preserve"> IFPMA</w:t>
            </w:r>
          </w:p>
          <w:p w14:paraId="537F1E44" w14:textId="5EB270B4" w:rsidR="00BD6E10" w:rsidRPr="00F124DF" w:rsidRDefault="00BD6E10" w:rsidP="000F1AF9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A62458" w:rsidRPr="003E07E6" w14:paraId="537F1E54" w14:textId="77777777" w:rsidTr="0004388C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F1E51" w14:textId="56956C24" w:rsidR="00A62458" w:rsidRPr="003E07E6" w:rsidRDefault="009809F9" w:rsidP="00D009C0">
            <w:pPr>
              <w:spacing w:after="0" w:line="240" w:lineRule="auto"/>
              <w:ind w:right="-288"/>
              <w:rPr>
                <w:rFonts w:cs="Arial"/>
                <w:b/>
                <w:color w:val="1F497D" w:themeColor="text2"/>
                <w:sz w:val="24"/>
                <w:szCs w:val="24"/>
              </w:rPr>
            </w:pPr>
            <w:r w:rsidRPr="003E07E6">
              <w:rPr>
                <w:rFonts w:cs="Arial"/>
                <w:b/>
                <w:color w:val="1F497D" w:themeColor="text2"/>
                <w:sz w:val="24"/>
                <w:szCs w:val="24"/>
              </w:rPr>
              <w:t>10:</w:t>
            </w:r>
            <w:r w:rsidR="0004388C" w:rsidRPr="003E07E6">
              <w:rPr>
                <w:rFonts w:cs="Arial"/>
                <w:b/>
                <w:color w:val="1F497D" w:themeColor="text2"/>
                <w:sz w:val="24"/>
                <w:szCs w:val="24"/>
              </w:rPr>
              <w:t>30</w:t>
            </w:r>
            <w:r w:rsidRPr="003E07E6">
              <w:rPr>
                <w:rFonts w:cs="Arial"/>
                <w:b/>
                <w:color w:val="1F497D" w:themeColor="text2"/>
                <w:sz w:val="24"/>
                <w:szCs w:val="24"/>
              </w:rPr>
              <w:t xml:space="preserve"> - </w:t>
            </w:r>
            <w:r w:rsidR="00A62458" w:rsidRPr="003E07E6">
              <w:rPr>
                <w:rFonts w:cs="Arial"/>
                <w:b/>
                <w:color w:val="1F497D" w:themeColor="text2"/>
                <w:sz w:val="24"/>
                <w:szCs w:val="24"/>
              </w:rPr>
              <w:t>1</w:t>
            </w:r>
            <w:r w:rsidR="0004388C" w:rsidRPr="003E07E6">
              <w:rPr>
                <w:rFonts w:cs="Arial"/>
                <w:b/>
                <w:color w:val="1F497D" w:themeColor="text2"/>
                <w:sz w:val="24"/>
                <w:szCs w:val="24"/>
              </w:rPr>
              <w:t>1</w:t>
            </w:r>
            <w:r w:rsidR="00A62458" w:rsidRPr="003E07E6">
              <w:rPr>
                <w:rFonts w:cs="Arial"/>
                <w:b/>
                <w:color w:val="1F497D" w:themeColor="text2"/>
                <w:sz w:val="24"/>
                <w:szCs w:val="24"/>
              </w:rPr>
              <w:t>:</w:t>
            </w:r>
            <w:r w:rsidR="0004388C" w:rsidRPr="003E07E6">
              <w:rPr>
                <w:rFonts w:cs="Arial"/>
                <w:b/>
                <w:color w:val="1F497D" w:themeColor="text2"/>
                <w:sz w:val="24"/>
                <w:szCs w:val="24"/>
              </w:rPr>
              <w:t>0</w:t>
            </w:r>
            <w:r w:rsidR="00A62458" w:rsidRPr="003E07E6">
              <w:rPr>
                <w:rFonts w:cs="Arial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F1E52" w14:textId="2052B07D" w:rsidR="00A62458" w:rsidRPr="003E07E6" w:rsidRDefault="0006331E" w:rsidP="00D009C0">
            <w:pPr>
              <w:spacing w:after="0" w:line="240" w:lineRule="auto"/>
              <w:rPr>
                <w:rFonts w:cs="Arial"/>
                <w:b/>
                <w:color w:val="1F497D" w:themeColor="text2"/>
                <w:sz w:val="24"/>
                <w:szCs w:val="24"/>
              </w:rPr>
            </w:pPr>
            <w:r w:rsidRPr="003E07E6">
              <w:rPr>
                <w:rFonts w:cs="Arial"/>
                <w:b/>
                <w:color w:val="1F497D" w:themeColor="text2"/>
                <w:sz w:val="24"/>
                <w:szCs w:val="24"/>
              </w:rPr>
              <w:t xml:space="preserve">Workshop </w:t>
            </w:r>
            <w:r w:rsidR="00A62458" w:rsidRPr="003E07E6">
              <w:rPr>
                <w:rFonts w:cs="Arial"/>
                <w:b/>
                <w:color w:val="1F497D" w:themeColor="text2"/>
                <w:sz w:val="24"/>
                <w:szCs w:val="24"/>
              </w:rPr>
              <w:t>Refreshment Break</w:t>
            </w:r>
          </w:p>
          <w:p w14:paraId="537F1E53" w14:textId="77777777" w:rsidR="00407B60" w:rsidRPr="009130DC" w:rsidRDefault="00407B60" w:rsidP="00D009C0">
            <w:pPr>
              <w:spacing w:after="0" w:line="240" w:lineRule="auto"/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A62458" w:rsidRPr="003E07E6" w14:paraId="537F1E5F" w14:textId="77777777" w:rsidTr="0004388C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1E55" w14:textId="7397D6FA" w:rsidR="00A62458" w:rsidRPr="001612BA" w:rsidRDefault="00A62458" w:rsidP="00D009C0">
            <w:pPr>
              <w:spacing w:after="0" w:line="240" w:lineRule="auto"/>
              <w:ind w:right="-288"/>
              <w:rPr>
                <w:rFonts w:cs="Arial"/>
                <w:b/>
                <w:sz w:val="24"/>
                <w:szCs w:val="24"/>
              </w:rPr>
            </w:pPr>
            <w:r w:rsidRPr="001612BA">
              <w:rPr>
                <w:rFonts w:cs="Arial"/>
                <w:b/>
                <w:sz w:val="24"/>
                <w:szCs w:val="24"/>
              </w:rPr>
              <w:t>1</w:t>
            </w:r>
            <w:r w:rsidR="0004388C" w:rsidRPr="001612BA">
              <w:rPr>
                <w:rFonts w:cs="Arial"/>
                <w:b/>
                <w:sz w:val="24"/>
                <w:szCs w:val="24"/>
              </w:rPr>
              <w:t>1</w:t>
            </w:r>
            <w:r w:rsidRPr="001612BA">
              <w:rPr>
                <w:rFonts w:cs="Arial"/>
                <w:b/>
                <w:sz w:val="24"/>
                <w:szCs w:val="24"/>
              </w:rPr>
              <w:t>:</w:t>
            </w:r>
            <w:r w:rsidR="0004388C" w:rsidRPr="001612BA">
              <w:rPr>
                <w:rFonts w:cs="Arial"/>
                <w:b/>
                <w:sz w:val="24"/>
                <w:szCs w:val="24"/>
              </w:rPr>
              <w:t>0</w:t>
            </w:r>
            <w:r w:rsidRPr="001612BA">
              <w:rPr>
                <w:rFonts w:cs="Arial"/>
                <w:b/>
                <w:sz w:val="24"/>
                <w:szCs w:val="24"/>
              </w:rPr>
              <w:t>0</w:t>
            </w:r>
            <w:r w:rsidR="0006331E" w:rsidRPr="001612BA">
              <w:rPr>
                <w:rFonts w:cs="Arial"/>
                <w:b/>
                <w:sz w:val="24"/>
                <w:szCs w:val="24"/>
              </w:rPr>
              <w:t xml:space="preserve"> – 1</w:t>
            </w:r>
            <w:r w:rsidR="0004388C" w:rsidRPr="001612BA">
              <w:rPr>
                <w:rFonts w:cs="Arial"/>
                <w:b/>
                <w:sz w:val="24"/>
                <w:szCs w:val="24"/>
              </w:rPr>
              <w:t>3</w:t>
            </w:r>
            <w:r w:rsidR="0006331E" w:rsidRPr="001612BA">
              <w:rPr>
                <w:rFonts w:cs="Arial"/>
                <w:b/>
                <w:sz w:val="24"/>
                <w:szCs w:val="24"/>
              </w:rPr>
              <w:t>:00</w:t>
            </w:r>
          </w:p>
          <w:p w14:paraId="537F1E56" w14:textId="77777777" w:rsidR="00A62458" w:rsidRPr="001612BA" w:rsidRDefault="00A62458" w:rsidP="00D009C0">
            <w:pPr>
              <w:spacing w:after="0" w:line="240" w:lineRule="auto"/>
              <w:ind w:right="-288"/>
              <w:rPr>
                <w:rFonts w:cs="Arial"/>
                <w:b/>
                <w:sz w:val="24"/>
                <w:szCs w:val="24"/>
              </w:rPr>
            </w:pPr>
          </w:p>
          <w:p w14:paraId="537F1E57" w14:textId="77777777" w:rsidR="00A62458" w:rsidRPr="001612BA" w:rsidRDefault="00A62458" w:rsidP="00D009C0">
            <w:pPr>
              <w:spacing w:after="0" w:line="240" w:lineRule="auto"/>
              <w:ind w:right="-288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1E58" w14:textId="5F2C443E" w:rsidR="00407B60" w:rsidRPr="001612BA" w:rsidRDefault="00407B60" w:rsidP="00407B6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612BA">
              <w:rPr>
                <w:rFonts w:cs="Arial"/>
                <w:b/>
                <w:sz w:val="24"/>
                <w:szCs w:val="24"/>
              </w:rPr>
              <w:t xml:space="preserve">Session </w:t>
            </w:r>
            <w:r w:rsidR="007F00AE" w:rsidRPr="001612BA">
              <w:rPr>
                <w:rFonts w:cs="Arial"/>
                <w:b/>
                <w:sz w:val="24"/>
                <w:szCs w:val="24"/>
              </w:rPr>
              <w:t>block 2:</w:t>
            </w:r>
            <w:r w:rsidRPr="001612BA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14:paraId="5D36CD87" w14:textId="251B114C" w:rsidR="00E56A78" w:rsidRPr="001612BA" w:rsidRDefault="00011A45" w:rsidP="007C5C9C">
            <w:pPr>
              <w:spacing w:after="0" w:line="240" w:lineRule="auto"/>
              <w:rPr>
                <w:rFonts w:cs="Arial"/>
                <w:bCs/>
              </w:rPr>
            </w:pPr>
            <w:r w:rsidRPr="001612BA">
              <w:rPr>
                <w:rFonts w:cs="Arial"/>
                <w:bCs/>
              </w:rPr>
              <w:t>Dynamic</w:t>
            </w:r>
            <w:r w:rsidR="00206A25">
              <w:rPr>
                <w:rFonts w:cs="Arial"/>
                <w:bCs/>
              </w:rPr>
              <w:t xml:space="preserve"> and </w:t>
            </w:r>
            <w:r w:rsidRPr="001612BA">
              <w:rPr>
                <w:rFonts w:cs="Arial"/>
                <w:bCs/>
              </w:rPr>
              <w:t>i</w:t>
            </w:r>
            <w:r w:rsidR="00CE3E44" w:rsidRPr="001612BA">
              <w:rPr>
                <w:rFonts w:cs="Arial"/>
                <w:bCs/>
              </w:rPr>
              <w:t xml:space="preserve">nteractive </w:t>
            </w:r>
            <w:r w:rsidR="00851B04" w:rsidRPr="001612BA">
              <w:rPr>
                <w:rFonts w:cs="Arial"/>
                <w:bCs/>
              </w:rPr>
              <w:t xml:space="preserve">World Café </w:t>
            </w:r>
            <w:r w:rsidR="006C6B1F" w:rsidRPr="001612BA">
              <w:rPr>
                <w:rFonts w:cs="Arial"/>
                <w:bCs/>
              </w:rPr>
              <w:t>session</w:t>
            </w:r>
            <w:r w:rsidR="00851B04" w:rsidRPr="001612BA">
              <w:rPr>
                <w:rFonts w:cs="Arial"/>
                <w:bCs/>
              </w:rPr>
              <w:t xml:space="preserve">. </w:t>
            </w:r>
            <w:r w:rsidR="00BC3576" w:rsidRPr="001612BA">
              <w:rPr>
                <w:rFonts w:cs="Arial"/>
                <w:bCs/>
              </w:rPr>
              <w:t>S</w:t>
            </w:r>
            <w:r w:rsidR="00C34C81" w:rsidRPr="001612BA">
              <w:rPr>
                <w:rFonts w:cs="Arial"/>
                <w:bCs/>
              </w:rPr>
              <w:t>mall</w:t>
            </w:r>
            <w:r w:rsidR="00A71626" w:rsidRPr="001612BA">
              <w:rPr>
                <w:rFonts w:cs="Arial"/>
                <w:bCs/>
              </w:rPr>
              <w:t>, rotating</w:t>
            </w:r>
            <w:r w:rsidR="00C34C81" w:rsidRPr="001612BA">
              <w:rPr>
                <w:rFonts w:cs="Arial"/>
                <w:bCs/>
              </w:rPr>
              <w:t xml:space="preserve"> groups</w:t>
            </w:r>
            <w:r w:rsidR="00BC3576" w:rsidRPr="001612BA">
              <w:rPr>
                <w:rFonts w:cs="Arial"/>
                <w:bCs/>
              </w:rPr>
              <w:t xml:space="preserve"> </w:t>
            </w:r>
            <w:r w:rsidR="00BA6C8B" w:rsidRPr="001612BA">
              <w:rPr>
                <w:rFonts w:cs="Arial"/>
                <w:bCs/>
              </w:rPr>
              <w:t xml:space="preserve">of </w:t>
            </w:r>
            <w:r w:rsidR="00BC3576" w:rsidRPr="001612BA">
              <w:rPr>
                <w:rFonts w:cs="Arial"/>
                <w:bCs/>
              </w:rPr>
              <w:t>participants</w:t>
            </w:r>
            <w:r w:rsidR="00334BA7" w:rsidRPr="001612BA">
              <w:rPr>
                <w:rFonts w:cs="Arial"/>
                <w:bCs/>
              </w:rPr>
              <w:t xml:space="preserve"> </w:t>
            </w:r>
            <w:r w:rsidR="00334BA7">
              <w:rPr>
                <w:rFonts w:cs="Arial"/>
                <w:bCs/>
              </w:rPr>
              <w:t xml:space="preserve">from </w:t>
            </w:r>
            <w:r w:rsidR="00334BA7" w:rsidRPr="001612BA">
              <w:rPr>
                <w:rFonts w:cs="Arial"/>
                <w:bCs/>
              </w:rPr>
              <w:t>industry and regulator</w:t>
            </w:r>
            <w:r w:rsidR="00334BA7">
              <w:rPr>
                <w:rFonts w:cs="Arial"/>
                <w:bCs/>
              </w:rPr>
              <w:t>s</w:t>
            </w:r>
            <w:r w:rsidR="00BA6C8B" w:rsidRPr="001612BA">
              <w:rPr>
                <w:rFonts w:cs="Arial"/>
                <w:bCs/>
              </w:rPr>
              <w:t xml:space="preserve"> will discuss</w:t>
            </w:r>
            <w:r w:rsidR="00E32EB8" w:rsidRPr="001612BA">
              <w:rPr>
                <w:rFonts w:cs="Arial"/>
                <w:bCs/>
              </w:rPr>
              <w:t xml:space="preserve"> </w:t>
            </w:r>
            <w:r w:rsidR="00C34C81" w:rsidRPr="001612BA">
              <w:rPr>
                <w:rFonts w:cs="Arial"/>
                <w:bCs/>
              </w:rPr>
              <w:t xml:space="preserve">specific questions related to </w:t>
            </w:r>
            <w:r w:rsidR="00B12424" w:rsidRPr="001612BA">
              <w:rPr>
                <w:rFonts w:cs="Arial"/>
                <w:bCs/>
              </w:rPr>
              <w:t xml:space="preserve">international collaborative initiatives. </w:t>
            </w:r>
            <w:r w:rsidR="00BA6C8B" w:rsidRPr="001612BA">
              <w:rPr>
                <w:rFonts w:cs="Arial"/>
                <w:bCs/>
              </w:rPr>
              <w:t>P</w:t>
            </w:r>
            <w:r w:rsidR="003B450E" w:rsidRPr="001612BA">
              <w:rPr>
                <w:rFonts w:cs="Arial"/>
                <w:bCs/>
              </w:rPr>
              <w:t xml:space="preserve">articipants share insights </w:t>
            </w:r>
            <w:r w:rsidR="00B25860" w:rsidRPr="001612BA">
              <w:rPr>
                <w:rFonts w:cs="Arial"/>
                <w:bCs/>
              </w:rPr>
              <w:t>and practical impacts o</w:t>
            </w:r>
            <w:r w:rsidR="001612BA" w:rsidRPr="001612BA">
              <w:rPr>
                <w:rFonts w:cs="Arial"/>
                <w:bCs/>
              </w:rPr>
              <w:t xml:space="preserve">f the various initiatives </w:t>
            </w:r>
            <w:r w:rsidR="003B450E" w:rsidRPr="001612BA">
              <w:rPr>
                <w:rFonts w:cs="Arial"/>
                <w:bCs/>
              </w:rPr>
              <w:t>and</w:t>
            </w:r>
            <w:r w:rsidR="00B92F26" w:rsidRPr="001612BA">
              <w:rPr>
                <w:rFonts w:cs="Arial"/>
                <w:bCs/>
              </w:rPr>
              <w:t xml:space="preserve"> </w:t>
            </w:r>
            <w:r w:rsidR="00BA6C8B" w:rsidRPr="001612BA">
              <w:rPr>
                <w:rFonts w:cs="Arial"/>
                <w:bCs/>
              </w:rPr>
              <w:t>explore</w:t>
            </w:r>
            <w:r w:rsidR="006F0AEF" w:rsidRPr="001612BA">
              <w:rPr>
                <w:rFonts w:cs="Arial"/>
                <w:bCs/>
              </w:rPr>
              <w:t xml:space="preserve"> new ideas and solutions</w:t>
            </w:r>
            <w:r w:rsidR="001612BA" w:rsidRPr="001612BA">
              <w:rPr>
                <w:rFonts w:cs="Arial"/>
                <w:bCs/>
              </w:rPr>
              <w:t xml:space="preserve"> for effective collaborative procedures</w:t>
            </w:r>
            <w:r w:rsidR="003F4A29" w:rsidRPr="001612BA">
              <w:rPr>
                <w:rFonts w:cs="Arial"/>
                <w:bCs/>
              </w:rPr>
              <w:t>.</w:t>
            </w:r>
          </w:p>
          <w:p w14:paraId="43FC5126" w14:textId="77777777" w:rsidR="00B82262" w:rsidRPr="001612BA" w:rsidRDefault="00B82262" w:rsidP="007C5C9C">
            <w:pPr>
              <w:spacing w:after="0" w:line="240" w:lineRule="auto"/>
              <w:rPr>
                <w:rFonts w:cs="Arial"/>
                <w:bCs/>
              </w:rPr>
            </w:pPr>
          </w:p>
          <w:p w14:paraId="7C7BAFDE" w14:textId="50664C30" w:rsidR="00B82262" w:rsidRPr="001612BA" w:rsidRDefault="00B82262" w:rsidP="007C5C9C">
            <w:pPr>
              <w:spacing w:after="0" w:line="240" w:lineRule="auto"/>
              <w:rPr>
                <w:rFonts w:cs="Arial"/>
                <w:b/>
              </w:rPr>
            </w:pPr>
            <w:r w:rsidRPr="001612BA">
              <w:rPr>
                <w:rFonts w:cs="Arial"/>
                <w:b/>
              </w:rPr>
              <w:t>Moderators:</w:t>
            </w:r>
          </w:p>
          <w:p w14:paraId="2914E039" w14:textId="494DE21C" w:rsidR="00B82262" w:rsidRPr="001612BA" w:rsidRDefault="00B82262" w:rsidP="00B82262">
            <w:pPr>
              <w:spacing w:after="0" w:line="240" w:lineRule="auto"/>
              <w:rPr>
                <w:rFonts w:cs="Arial"/>
                <w:bCs/>
              </w:rPr>
            </w:pPr>
            <w:r w:rsidRPr="001612BA">
              <w:rPr>
                <w:rFonts w:cs="Arial"/>
                <w:bCs/>
              </w:rPr>
              <w:t>Mercè Caturla Goñi</w:t>
            </w:r>
            <w:r w:rsidR="0029718D" w:rsidRPr="001612BA">
              <w:rPr>
                <w:rFonts w:cs="Arial"/>
                <w:bCs/>
              </w:rPr>
              <w:t xml:space="preserve"> – Director, Global Regulatory Affairs</w:t>
            </w:r>
            <w:r w:rsidRPr="001612BA">
              <w:rPr>
                <w:rFonts w:cs="Arial"/>
                <w:bCs/>
              </w:rPr>
              <w:t xml:space="preserve"> </w:t>
            </w:r>
          </w:p>
          <w:p w14:paraId="20EAABE6" w14:textId="750845CD" w:rsidR="00B82262" w:rsidRPr="001612BA" w:rsidRDefault="00B82262" w:rsidP="00B82262">
            <w:pPr>
              <w:spacing w:after="0" w:line="240" w:lineRule="auto"/>
              <w:rPr>
                <w:rFonts w:cs="Arial"/>
                <w:bCs/>
              </w:rPr>
            </w:pPr>
            <w:r w:rsidRPr="001612BA">
              <w:rPr>
                <w:rFonts w:cs="Arial"/>
                <w:bCs/>
              </w:rPr>
              <w:t>Beate Schmidt</w:t>
            </w:r>
            <w:r w:rsidR="0029718D" w:rsidRPr="001612BA">
              <w:rPr>
                <w:rFonts w:cs="Arial"/>
                <w:bCs/>
              </w:rPr>
              <w:t xml:space="preserve"> </w:t>
            </w:r>
            <w:r w:rsidRPr="001612BA">
              <w:rPr>
                <w:rFonts w:cs="Arial"/>
                <w:bCs/>
              </w:rPr>
              <w:t>– Benefits Regulatory Consulting</w:t>
            </w:r>
          </w:p>
          <w:p w14:paraId="3FE55A77" w14:textId="77777777" w:rsidR="00B82262" w:rsidRPr="001612BA" w:rsidRDefault="00B82262" w:rsidP="00B82262">
            <w:pPr>
              <w:spacing w:after="0" w:line="240" w:lineRule="auto"/>
              <w:rPr>
                <w:rFonts w:cs="Arial"/>
                <w:bCs/>
              </w:rPr>
            </w:pPr>
            <w:r w:rsidRPr="001612BA">
              <w:rPr>
                <w:rFonts w:cs="Arial"/>
                <w:bCs/>
              </w:rPr>
              <w:t>Alexandra Eckhoff – Sanofi</w:t>
            </w:r>
          </w:p>
          <w:p w14:paraId="537F1E5E" w14:textId="4E5953F4" w:rsidR="009D7BB0" w:rsidRPr="009130DC" w:rsidRDefault="009D7BB0" w:rsidP="00B82262">
            <w:pPr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</w:p>
        </w:tc>
      </w:tr>
      <w:tr w:rsidR="009F7D17" w:rsidRPr="003E07E6" w14:paraId="537F1E63" w14:textId="77777777" w:rsidTr="0004388C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1E60" w14:textId="6F31869C" w:rsidR="009F7D17" w:rsidRPr="003E07E6" w:rsidRDefault="009F7D17" w:rsidP="00D009C0">
            <w:pPr>
              <w:spacing w:after="0" w:line="240" w:lineRule="auto"/>
              <w:ind w:right="-288"/>
              <w:rPr>
                <w:rFonts w:cs="Arial"/>
                <w:b/>
                <w:color w:val="1F497D" w:themeColor="text2"/>
                <w:sz w:val="24"/>
                <w:szCs w:val="24"/>
              </w:rPr>
            </w:pPr>
            <w:r w:rsidRPr="003E07E6">
              <w:rPr>
                <w:rFonts w:cs="Arial"/>
                <w:b/>
                <w:color w:val="1F497D" w:themeColor="text2"/>
                <w:sz w:val="24"/>
                <w:szCs w:val="24"/>
              </w:rPr>
              <w:t>1</w:t>
            </w:r>
            <w:r w:rsidR="0004388C" w:rsidRPr="003E07E6">
              <w:rPr>
                <w:rFonts w:cs="Arial"/>
                <w:b/>
                <w:color w:val="1F497D" w:themeColor="text2"/>
                <w:sz w:val="24"/>
                <w:szCs w:val="24"/>
              </w:rPr>
              <w:t>3</w:t>
            </w:r>
            <w:r w:rsidRPr="003E07E6">
              <w:rPr>
                <w:rFonts w:cs="Arial"/>
                <w:b/>
                <w:color w:val="1F497D" w:themeColor="text2"/>
                <w:sz w:val="24"/>
                <w:szCs w:val="24"/>
              </w:rPr>
              <w:t>:</w:t>
            </w:r>
            <w:r w:rsidR="00256DE5" w:rsidRPr="003E07E6">
              <w:rPr>
                <w:rFonts w:cs="Arial"/>
                <w:b/>
                <w:color w:val="1F497D" w:themeColor="text2"/>
                <w:sz w:val="24"/>
                <w:szCs w:val="24"/>
              </w:rPr>
              <w:t xml:space="preserve">00 – </w:t>
            </w:r>
            <w:r w:rsidR="0004388C" w:rsidRPr="003E07E6">
              <w:rPr>
                <w:rFonts w:cs="Arial"/>
                <w:b/>
                <w:color w:val="1F497D" w:themeColor="text2"/>
                <w:sz w:val="24"/>
                <w:szCs w:val="24"/>
              </w:rPr>
              <w:t>14</w:t>
            </w:r>
            <w:r w:rsidR="00256DE5" w:rsidRPr="003E07E6">
              <w:rPr>
                <w:rFonts w:cs="Arial"/>
                <w:b/>
                <w:color w:val="1F497D" w:themeColor="text2"/>
                <w:sz w:val="24"/>
                <w:szCs w:val="24"/>
              </w:rPr>
              <w:t>:00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1E61" w14:textId="3ABC4F0F" w:rsidR="009F7D17" w:rsidRPr="003E07E6" w:rsidRDefault="00256DE5" w:rsidP="00D009C0">
            <w:pPr>
              <w:spacing w:after="0" w:line="240" w:lineRule="auto"/>
              <w:rPr>
                <w:rFonts w:cs="Arial"/>
                <w:b/>
                <w:color w:val="1F497D" w:themeColor="text2"/>
                <w:sz w:val="24"/>
                <w:szCs w:val="24"/>
              </w:rPr>
            </w:pPr>
            <w:r w:rsidRPr="003E07E6">
              <w:rPr>
                <w:rFonts w:cs="Arial"/>
                <w:b/>
                <w:color w:val="1F497D" w:themeColor="text2"/>
                <w:sz w:val="24"/>
                <w:szCs w:val="24"/>
              </w:rPr>
              <w:t xml:space="preserve">Workshop </w:t>
            </w:r>
            <w:r w:rsidR="009F7D17" w:rsidRPr="003E07E6">
              <w:rPr>
                <w:rFonts w:cs="Arial"/>
                <w:b/>
                <w:color w:val="1F497D" w:themeColor="text2"/>
                <w:sz w:val="24"/>
                <w:szCs w:val="24"/>
              </w:rPr>
              <w:t>Lunch</w:t>
            </w:r>
          </w:p>
          <w:p w14:paraId="537F1E62" w14:textId="77777777" w:rsidR="00407B60" w:rsidRPr="009130DC" w:rsidRDefault="00407B60" w:rsidP="00D009C0">
            <w:pPr>
              <w:spacing w:after="0" w:line="240" w:lineRule="auto"/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A62458" w:rsidRPr="003E07E6" w14:paraId="537F1E6C" w14:textId="77777777" w:rsidTr="0004388C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1E64" w14:textId="53290115" w:rsidR="00A62458" w:rsidRPr="003E07E6" w:rsidRDefault="00A62458" w:rsidP="00D009C0">
            <w:pPr>
              <w:spacing w:after="0" w:line="240" w:lineRule="auto"/>
              <w:ind w:right="-288"/>
              <w:rPr>
                <w:rFonts w:cs="Arial"/>
                <w:b/>
                <w:sz w:val="24"/>
                <w:szCs w:val="24"/>
              </w:rPr>
            </w:pPr>
            <w:r w:rsidRPr="003E07E6">
              <w:rPr>
                <w:rFonts w:cs="Arial"/>
                <w:b/>
                <w:sz w:val="24"/>
                <w:szCs w:val="24"/>
              </w:rPr>
              <w:t>1</w:t>
            </w:r>
            <w:r w:rsidR="0004388C" w:rsidRPr="003E07E6">
              <w:rPr>
                <w:rFonts w:cs="Arial"/>
                <w:b/>
                <w:sz w:val="24"/>
                <w:szCs w:val="24"/>
              </w:rPr>
              <w:t>4</w:t>
            </w:r>
            <w:r w:rsidR="007F00AE" w:rsidRPr="003E07E6">
              <w:rPr>
                <w:rFonts w:cs="Arial"/>
                <w:b/>
                <w:sz w:val="24"/>
                <w:szCs w:val="24"/>
              </w:rPr>
              <w:t>:0</w:t>
            </w:r>
            <w:r w:rsidRPr="003E07E6">
              <w:rPr>
                <w:rFonts w:cs="Arial"/>
                <w:b/>
                <w:sz w:val="24"/>
                <w:szCs w:val="24"/>
              </w:rPr>
              <w:t xml:space="preserve">0 </w:t>
            </w:r>
            <w:r w:rsidR="007F00AE" w:rsidRPr="003E07E6">
              <w:rPr>
                <w:rFonts w:cs="Arial"/>
                <w:b/>
                <w:sz w:val="24"/>
                <w:szCs w:val="24"/>
              </w:rPr>
              <w:t>– 1</w:t>
            </w:r>
            <w:r w:rsidR="0004388C" w:rsidRPr="003E07E6">
              <w:rPr>
                <w:rFonts w:cs="Arial"/>
                <w:b/>
                <w:sz w:val="24"/>
                <w:szCs w:val="24"/>
              </w:rPr>
              <w:t>6</w:t>
            </w:r>
            <w:r w:rsidR="007F00AE" w:rsidRPr="003E07E6">
              <w:rPr>
                <w:rFonts w:cs="Arial"/>
                <w:b/>
                <w:sz w:val="24"/>
                <w:szCs w:val="24"/>
              </w:rPr>
              <w:t>:</w:t>
            </w:r>
            <w:r w:rsidR="0004388C" w:rsidRPr="003E07E6">
              <w:rPr>
                <w:rFonts w:cs="Arial"/>
                <w:b/>
                <w:sz w:val="24"/>
                <w:szCs w:val="24"/>
              </w:rPr>
              <w:t>0</w:t>
            </w:r>
            <w:r w:rsidR="007F00AE" w:rsidRPr="003E07E6">
              <w:rPr>
                <w:rFonts w:cs="Arial"/>
                <w:b/>
                <w:sz w:val="24"/>
                <w:szCs w:val="24"/>
              </w:rPr>
              <w:t>0</w:t>
            </w:r>
            <w:r w:rsidRPr="003E07E6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3189" w14:textId="6EE4E0A4" w:rsidR="00A62458" w:rsidRDefault="00407B60" w:rsidP="00EE0345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3E07E6">
              <w:rPr>
                <w:rFonts w:cs="Arial"/>
                <w:b/>
                <w:sz w:val="24"/>
                <w:szCs w:val="24"/>
              </w:rPr>
              <w:t xml:space="preserve">Session </w:t>
            </w:r>
            <w:r w:rsidR="007F00AE" w:rsidRPr="003E07E6">
              <w:rPr>
                <w:rFonts w:cs="Arial"/>
                <w:b/>
                <w:sz w:val="24"/>
                <w:szCs w:val="24"/>
              </w:rPr>
              <w:t>block 3:</w:t>
            </w:r>
          </w:p>
          <w:p w14:paraId="1AA0745B" w14:textId="5CF0BA75" w:rsidR="00053827" w:rsidRPr="008568EC" w:rsidRDefault="00E93F47" w:rsidP="00053827">
            <w:pPr>
              <w:pStyle w:val="Lijstalinea"/>
              <w:numPr>
                <w:ilvl w:val="0"/>
                <w:numId w:val="21"/>
              </w:numPr>
              <w:spacing w:after="0" w:line="240" w:lineRule="auto"/>
              <w:rPr>
                <w:rFonts w:cs="Arial"/>
                <w:bCs/>
              </w:rPr>
            </w:pPr>
            <w:r w:rsidRPr="008568EC">
              <w:rPr>
                <w:rFonts w:cs="Arial"/>
                <w:bCs/>
              </w:rPr>
              <w:t>Presentation of outcome</w:t>
            </w:r>
            <w:r w:rsidR="00C30093" w:rsidRPr="008568EC">
              <w:rPr>
                <w:rFonts w:cs="Arial"/>
                <w:bCs/>
              </w:rPr>
              <w:t xml:space="preserve">s from </w:t>
            </w:r>
            <w:r w:rsidR="001B14B5">
              <w:rPr>
                <w:rFonts w:cs="Arial"/>
                <w:bCs/>
              </w:rPr>
              <w:t>World Café</w:t>
            </w:r>
            <w:r w:rsidR="00C74A57">
              <w:rPr>
                <w:rFonts w:cs="Arial"/>
                <w:bCs/>
              </w:rPr>
              <w:t xml:space="preserve"> </w:t>
            </w:r>
            <w:r w:rsidR="00F534CC">
              <w:rPr>
                <w:rFonts w:cs="Arial"/>
                <w:bCs/>
              </w:rPr>
              <w:t>(15 min per group)</w:t>
            </w:r>
          </w:p>
          <w:p w14:paraId="2992CB44" w14:textId="37636102" w:rsidR="00C30093" w:rsidRPr="008568EC" w:rsidRDefault="00C30093" w:rsidP="00053827">
            <w:pPr>
              <w:pStyle w:val="Lijstalinea"/>
              <w:numPr>
                <w:ilvl w:val="0"/>
                <w:numId w:val="21"/>
              </w:numPr>
              <w:spacing w:after="0" w:line="240" w:lineRule="auto"/>
              <w:rPr>
                <w:rFonts w:cs="Arial"/>
                <w:bCs/>
              </w:rPr>
            </w:pPr>
            <w:r w:rsidRPr="008568EC">
              <w:rPr>
                <w:rFonts w:cs="Arial"/>
                <w:bCs/>
              </w:rPr>
              <w:lastRenderedPageBreak/>
              <w:t>Joint discussion</w:t>
            </w:r>
            <w:r w:rsidR="001B14B5">
              <w:rPr>
                <w:rFonts w:cs="Arial"/>
                <w:bCs/>
              </w:rPr>
              <w:t xml:space="preserve"> of </w:t>
            </w:r>
            <w:r w:rsidR="000E0889">
              <w:rPr>
                <w:rFonts w:cs="Arial"/>
                <w:bCs/>
              </w:rPr>
              <w:t>‘</w:t>
            </w:r>
            <w:r w:rsidR="001B14B5">
              <w:rPr>
                <w:rFonts w:cs="Arial"/>
                <w:bCs/>
              </w:rPr>
              <w:t xml:space="preserve">Blue Sky </w:t>
            </w:r>
            <w:r w:rsidR="000E0889">
              <w:rPr>
                <w:rFonts w:cs="Arial"/>
                <w:bCs/>
              </w:rPr>
              <w:t>Scenario’</w:t>
            </w:r>
          </w:p>
          <w:p w14:paraId="1E14AE4A" w14:textId="2147C5AD" w:rsidR="00C30093" w:rsidRPr="008568EC" w:rsidRDefault="00C30093" w:rsidP="00C30093">
            <w:pPr>
              <w:pStyle w:val="Lijstalinea"/>
              <w:numPr>
                <w:ilvl w:val="0"/>
                <w:numId w:val="21"/>
              </w:numPr>
              <w:spacing w:after="0" w:line="240" w:lineRule="auto"/>
              <w:rPr>
                <w:rFonts w:cs="Arial"/>
                <w:bCs/>
              </w:rPr>
            </w:pPr>
            <w:r w:rsidRPr="008568EC">
              <w:rPr>
                <w:rFonts w:cs="Arial"/>
                <w:bCs/>
              </w:rPr>
              <w:t>Conclusion and outlook</w:t>
            </w:r>
          </w:p>
          <w:p w14:paraId="537F1E6B" w14:textId="20206A23" w:rsidR="00053827" w:rsidRPr="009130DC" w:rsidRDefault="00053827" w:rsidP="00EE0345">
            <w:pPr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</w:p>
        </w:tc>
      </w:tr>
      <w:tr w:rsidR="00EB3057" w:rsidRPr="003E07E6" w14:paraId="537F1E87" w14:textId="77777777" w:rsidTr="0004388C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1E85" w14:textId="3922598D" w:rsidR="00EB3057" w:rsidRPr="003E07E6" w:rsidRDefault="00C71658" w:rsidP="00407B60">
            <w:pPr>
              <w:spacing w:after="0" w:line="240" w:lineRule="auto"/>
              <w:ind w:right="-288"/>
              <w:rPr>
                <w:rFonts w:cs="Arial"/>
                <w:b/>
                <w:sz w:val="24"/>
                <w:szCs w:val="24"/>
              </w:rPr>
            </w:pPr>
            <w:r w:rsidRPr="003E07E6">
              <w:rPr>
                <w:rFonts w:cs="Arial"/>
                <w:b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1E86" w14:textId="77777777" w:rsidR="00EB3057" w:rsidRPr="003E07E6" w:rsidRDefault="00EB3057" w:rsidP="00D009C0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3E07E6">
              <w:rPr>
                <w:rFonts w:cs="Arial"/>
                <w:b/>
                <w:sz w:val="24"/>
                <w:szCs w:val="24"/>
              </w:rPr>
              <w:t>Adjourn</w:t>
            </w:r>
          </w:p>
        </w:tc>
      </w:tr>
      <w:tr w:rsidR="0004388C" w:rsidRPr="003E07E6" w14:paraId="53809B83" w14:textId="77777777" w:rsidTr="0004388C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2A1B" w14:textId="61A40D67" w:rsidR="0004388C" w:rsidRPr="003E07E6" w:rsidRDefault="0004388C" w:rsidP="0004388C">
            <w:pPr>
              <w:spacing w:after="0" w:line="240" w:lineRule="auto"/>
              <w:ind w:right="-288"/>
              <w:rPr>
                <w:rFonts w:cs="Arial"/>
                <w:b/>
                <w:sz w:val="24"/>
                <w:szCs w:val="24"/>
              </w:rPr>
            </w:pPr>
            <w:r w:rsidRPr="003E07E6">
              <w:rPr>
                <w:rFonts w:cs="Arial"/>
                <w:b/>
                <w:color w:val="1F497D" w:themeColor="text2"/>
                <w:sz w:val="24"/>
                <w:szCs w:val="24"/>
              </w:rPr>
              <w:t>16:00 – 16:20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A70C" w14:textId="77777777" w:rsidR="0004388C" w:rsidRPr="003E07E6" w:rsidRDefault="0004388C" w:rsidP="0004388C">
            <w:pPr>
              <w:spacing w:after="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 w:rsidRPr="003E07E6">
              <w:rPr>
                <w:rFonts w:cs="Arial"/>
                <w:b/>
                <w:color w:val="1F497D" w:themeColor="text2"/>
                <w:sz w:val="24"/>
                <w:szCs w:val="24"/>
              </w:rPr>
              <w:t>Coffee Break</w:t>
            </w:r>
            <w:r w:rsidRPr="003E07E6">
              <w:rPr>
                <w:rFonts w:cs="Arial"/>
                <w:color w:val="1F497D" w:themeColor="text2"/>
                <w:sz w:val="24"/>
                <w:szCs w:val="24"/>
              </w:rPr>
              <w:t xml:space="preserve"> </w:t>
            </w:r>
          </w:p>
          <w:p w14:paraId="0A17F0E1" w14:textId="77777777" w:rsidR="0004388C" w:rsidRPr="009130DC" w:rsidRDefault="0004388C" w:rsidP="0004388C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537F1E88" w14:textId="77777777" w:rsidR="00A62458" w:rsidRPr="003E07E6" w:rsidRDefault="00A62458" w:rsidP="00407B60">
      <w:pPr>
        <w:rPr>
          <w:sz w:val="24"/>
          <w:szCs w:val="24"/>
        </w:rPr>
      </w:pPr>
    </w:p>
    <w:sectPr w:rsidR="00A62458" w:rsidRPr="003E07E6" w:rsidSect="00DA361A">
      <w:headerReference w:type="default" r:id="rId7"/>
      <w:headerReference w:type="first" r:id="rId8"/>
      <w:pgSz w:w="11906" w:h="16838" w:code="9"/>
      <w:pgMar w:top="1440" w:right="1440" w:bottom="1440" w:left="1440" w:header="0" w:footer="720" w:gutter="22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EDD1" w14:textId="77777777" w:rsidR="00C73E9C" w:rsidRDefault="00C73E9C" w:rsidP="004A7A89">
      <w:pPr>
        <w:spacing w:after="0" w:line="240" w:lineRule="auto"/>
      </w:pPr>
      <w:r>
        <w:separator/>
      </w:r>
    </w:p>
  </w:endnote>
  <w:endnote w:type="continuationSeparator" w:id="0">
    <w:p w14:paraId="3C79AFFF" w14:textId="77777777" w:rsidR="00C73E9C" w:rsidRDefault="00C73E9C" w:rsidP="004A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1897B" w14:textId="77777777" w:rsidR="00C73E9C" w:rsidRDefault="00C73E9C" w:rsidP="004A7A89">
      <w:pPr>
        <w:spacing w:after="0" w:line="240" w:lineRule="auto"/>
      </w:pPr>
      <w:r>
        <w:separator/>
      </w:r>
    </w:p>
  </w:footnote>
  <w:footnote w:type="continuationSeparator" w:id="0">
    <w:p w14:paraId="39ED1EC7" w14:textId="77777777" w:rsidR="00C73E9C" w:rsidRDefault="00C73E9C" w:rsidP="004A7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1E8D" w14:textId="77777777" w:rsidR="004A7A89" w:rsidRDefault="004A7A89" w:rsidP="007330D0">
    <w:pPr>
      <w:pStyle w:val="Koptekst"/>
    </w:pPr>
    <w:r>
      <w:t xml:space="preserve">                                                                       </w:t>
    </w:r>
  </w:p>
  <w:p w14:paraId="537F1E8E" w14:textId="77777777" w:rsidR="004A7A89" w:rsidRDefault="004A7A89">
    <w:pPr>
      <w:pStyle w:val="Koptekst"/>
    </w:pPr>
  </w:p>
  <w:p w14:paraId="537F1E8F" w14:textId="77777777" w:rsidR="00A62458" w:rsidRDefault="00A6245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5EE2" w14:textId="7519A6CE" w:rsidR="00455426" w:rsidRDefault="00455426">
    <w:pPr>
      <w:pStyle w:val="Koptekst"/>
      <w:rPr>
        <w:noProof/>
      </w:rPr>
    </w:pPr>
    <w:r w:rsidRPr="00455426">
      <w:rPr>
        <w:noProof/>
      </w:rPr>
      <w:drawing>
        <wp:anchor distT="0" distB="0" distL="114300" distR="114300" simplePos="0" relativeHeight="251658240" behindDoc="0" locked="0" layoutInCell="1" allowOverlap="1" wp14:anchorId="0CE52DCB" wp14:editId="74211762">
          <wp:simplePos x="0" y="0"/>
          <wp:positionH relativeFrom="page">
            <wp:align>right</wp:align>
          </wp:positionH>
          <wp:positionV relativeFrom="paragraph">
            <wp:posOffset>10193</wp:posOffset>
          </wp:positionV>
          <wp:extent cx="7552706" cy="1865215"/>
          <wp:effectExtent l="0" t="0" r="0" b="1905"/>
          <wp:wrapNone/>
          <wp:docPr id="137513243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706" cy="186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F2CAC" w14:textId="006FD256" w:rsidR="00455426" w:rsidRDefault="00455426">
    <w:pPr>
      <w:pStyle w:val="Koptekst"/>
      <w:rPr>
        <w:noProof/>
      </w:rPr>
    </w:pPr>
  </w:p>
  <w:p w14:paraId="10FD44E7" w14:textId="77777777" w:rsidR="00455426" w:rsidRDefault="00455426">
    <w:pPr>
      <w:pStyle w:val="Koptekst"/>
      <w:rPr>
        <w:noProof/>
      </w:rPr>
    </w:pPr>
  </w:p>
  <w:p w14:paraId="12B0BF37" w14:textId="77777777" w:rsidR="00455426" w:rsidRDefault="00455426">
    <w:pPr>
      <w:pStyle w:val="Koptekst"/>
      <w:rPr>
        <w:noProof/>
      </w:rPr>
    </w:pPr>
  </w:p>
  <w:p w14:paraId="3A00AA64" w14:textId="684A44A3" w:rsidR="00455426" w:rsidRDefault="00455426">
    <w:pPr>
      <w:pStyle w:val="Koptekst"/>
      <w:rPr>
        <w:noProof/>
      </w:rPr>
    </w:pPr>
  </w:p>
  <w:p w14:paraId="716938E8" w14:textId="5E1DFD61" w:rsidR="00455426" w:rsidRDefault="00455426">
    <w:pPr>
      <w:pStyle w:val="Koptekst"/>
      <w:rPr>
        <w:noProof/>
      </w:rPr>
    </w:pPr>
  </w:p>
  <w:p w14:paraId="12280E02" w14:textId="77777777" w:rsidR="00455426" w:rsidRDefault="00455426">
    <w:pPr>
      <w:pStyle w:val="Koptekst"/>
      <w:rPr>
        <w:noProof/>
      </w:rPr>
    </w:pPr>
  </w:p>
  <w:p w14:paraId="265C6F1C" w14:textId="77777777" w:rsidR="00455426" w:rsidRDefault="00455426">
    <w:pPr>
      <w:pStyle w:val="Koptekst"/>
      <w:rPr>
        <w:noProof/>
      </w:rPr>
    </w:pPr>
  </w:p>
  <w:p w14:paraId="0890CC39" w14:textId="0FACD951" w:rsidR="002D5330" w:rsidRDefault="002D5330">
    <w:pPr>
      <w:pStyle w:val="Koptekst"/>
      <w:rPr>
        <w:noProof/>
      </w:rPr>
    </w:pPr>
  </w:p>
  <w:p w14:paraId="537F1E90" w14:textId="4BD6F93B" w:rsidR="00531BB9" w:rsidRDefault="00161C6F" w:rsidP="00161C6F">
    <w:pPr>
      <w:pStyle w:val="Kopteks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DE0"/>
    <w:multiLevelType w:val="hybridMultilevel"/>
    <w:tmpl w:val="B11CF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62A6"/>
    <w:multiLevelType w:val="hybridMultilevel"/>
    <w:tmpl w:val="182E2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22D5B"/>
    <w:multiLevelType w:val="hybridMultilevel"/>
    <w:tmpl w:val="7F464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209B"/>
    <w:multiLevelType w:val="hybridMultilevel"/>
    <w:tmpl w:val="275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744E4"/>
    <w:multiLevelType w:val="hybridMultilevel"/>
    <w:tmpl w:val="5CBE5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F699B"/>
    <w:multiLevelType w:val="hybridMultilevel"/>
    <w:tmpl w:val="48CAD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34A80"/>
    <w:multiLevelType w:val="hybridMultilevel"/>
    <w:tmpl w:val="AC442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F05E4"/>
    <w:multiLevelType w:val="multilevel"/>
    <w:tmpl w:val="3860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60E56"/>
    <w:multiLevelType w:val="hybridMultilevel"/>
    <w:tmpl w:val="545C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22076"/>
    <w:multiLevelType w:val="hybridMultilevel"/>
    <w:tmpl w:val="F1D2A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B062C"/>
    <w:multiLevelType w:val="hybridMultilevel"/>
    <w:tmpl w:val="E1F88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6255E"/>
    <w:multiLevelType w:val="hybridMultilevel"/>
    <w:tmpl w:val="6CEE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F0AE8"/>
    <w:multiLevelType w:val="multilevel"/>
    <w:tmpl w:val="2654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D5478"/>
    <w:multiLevelType w:val="hybridMultilevel"/>
    <w:tmpl w:val="B25A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56E49"/>
    <w:multiLevelType w:val="hybridMultilevel"/>
    <w:tmpl w:val="4C388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016A0"/>
    <w:multiLevelType w:val="hybridMultilevel"/>
    <w:tmpl w:val="7B26E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E6224"/>
    <w:multiLevelType w:val="hybridMultilevel"/>
    <w:tmpl w:val="A39A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A1428"/>
    <w:multiLevelType w:val="hybridMultilevel"/>
    <w:tmpl w:val="E8C8C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57C0B"/>
    <w:multiLevelType w:val="hybridMultilevel"/>
    <w:tmpl w:val="18E20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6440C"/>
    <w:multiLevelType w:val="hybridMultilevel"/>
    <w:tmpl w:val="7944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27524"/>
    <w:multiLevelType w:val="hybridMultilevel"/>
    <w:tmpl w:val="880C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20838">
    <w:abstractNumId w:val="1"/>
  </w:num>
  <w:num w:numId="2" w16cid:durableId="2033263117">
    <w:abstractNumId w:val="19"/>
  </w:num>
  <w:num w:numId="3" w16cid:durableId="332683629">
    <w:abstractNumId w:val="18"/>
  </w:num>
  <w:num w:numId="4" w16cid:durableId="1486623797">
    <w:abstractNumId w:val="17"/>
  </w:num>
  <w:num w:numId="5" w16cid:durableId="1958366405">
    <w:abstractNumId w:val="15"/>
  </w:num>
  <w:num w:numId="6" w16cid:durableId="269435863">
    <w:abstractNumId w:val="7"/>
  </w:num>
  <w:num w:numId="7" w16cid:durableId="1255701499">
    <w:abstractNumId w:val="14"/>
  </w:num>
  <w:num w:numId="8" w16cid:durableId="1016807802">
    <w:abstractNumId w:val="11"/>
  </w:num>
  <w:num w:numId="9" w16cid:durableId="1583834545">
    <w:abstractNumId w:val="10"/>
  </w:num>
  <w:num w:numId="10" w16cid:durableId="1370913624">
    <w:abstractNumId w:val="0"/>
  </w:num>
  <w:num w:numId="11" w16cid:durableId="438260368">
    <w:abstractNumId w:val="5"/>
  </w:num>
  <w:num w:numId="12" w16cid:durableId="1941449730">
    <w:abstractNumId w:val="2"/>
  </w:num>
  <w:num w:numId="13" w16cid:durableId="1764255928">
    <w:abstractNumId w:val="20"/>
  </w:num>
  <w:num w:numId="14" w16cid:durableId="2063360406">
    <w:abstractNumId w:val="8"/>
  </w:num>
  <w:num w:numId="15" w16cid:durableId="1552619997">
    <w:abstractNumId w:val="13"/>
  </w:num>
  <w:num w:numId="16" w16cid:durableId="1310016848">
    <w:abstractNumId w:val="6"/>
  </w:num>
  <w:num w:numId="17" w16cid:durableId="1251504154">
    <w:abstractNumId w:val="3"/>
  </w:num>
  <w:num w:numId="18" w16cid:durableId="1921789973">
    <w:abstractNumId w:val="16"/>
  </w:num>
  <w:num w:numId="19" w16cid:durableId="710034100">
    <w:abstractNumId w:val="12"/>
  </w:num>
  <w:num w:numId="20" w16cid:durableId="1465276745">
    <w:abstractNumId w:val="4"/>
  </w:num>
  <w:num w:numId="21" w16cid:durableId="238096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A89"/>
    <w:rsid w:val="00011A45"/>
    <w:rsid w:val="00036878"/>
    <w:rsid w:val="0004388C"/>
    <w:rsid w:val="00043C15"/>
    <w:rsid w:val="00051D81"/>
    <w:rsid w:val="00053827"/>
    <w:rsid w:val="0006331E"/>
    <w:rsid w:val="000C6E20"/>
    <w:rsid w:val="000D173C"/>
    <w:rsid w:val="000D4C26"/>
    <w:rsid w:val="000D5F91"/>
    <w:rsid w:val="000E0889"/>
    <w:rsid w:val="000E2F60"/>
    <w:rsid w:val="000F1AF9"/>
    <w:rsid w:val="00104626"/>
    <w:rsid w:val="001050A2"/>
    <w:rsid w:val="00127E4C"/>
    <w:rsid w:val="00151839"/>
    <w:rsid w:val="00152D5B"/>
    <w:rsid w:val="001612BA"/>
    <w:rsid w:val="00161C6F"/>
    <w:rsid w:val="00165114"/>
    <w:rsid w:val="001700FA"/>
    <w:rsid w:val="0019339B"/>
    <w:rsid w:val="001A4490"/>
    <w:rsid w:val="001B14B5"/>
    <w:rsid w:val="001B3138"/>
    <w:rsid w:val="001C3C0C"/>
    <w:rsid w:val="001E1085"/>
    <w:rsid w:val="001F443A"/>
    <w:rsid w:val="00206A25"/>
    <w:rsid w:val="002534E1"/>
    <w:rsid w:val="00256DE5"/>
    <w:rsid w:val="00266297"/>
    <w:rsid w:val="0029718D"/>
    <w:rsid w:val="002A5C03"/>
    <w:rsid w:val="002C0BF2"/>
    <w:rsid w:val="002D5330"/>
    <w:rsid w:val="002D6D72"/>
    <w:rsid w:val="002E2353"/>
    <w:rsid w:val="002E4FB5"/>
    <w:rsid w:val="002F07BE"/>
    <w:rsid w:val="002F4464"/>
    <w:rsid w:val="003000AC"/>
    <w:rsid w:val="00313A27"/>
    <w:rsid w:val="00325F7C"/>
    <w:rsid w:val="00334BA7"/>
    <w:rsid w:val="0034629A"/>
    <w:rsid w:val="003653DA"/>
    <w:rsid w:val="003773C5"/>
    <w:rsid w:val="0038148F"/>
    <w:rsid w:val="003B38F7"/>
    <w:rsid w:val="003B450E"/>
    <w:rsid w:val="003C668A"/>
    <w:rsid w:val="003D6B34"/>
    <w:rsid w:val="003E07E6"/>
    <w:rsid w:val="003F4A29"/>
    <w:rsid w:val="004025AA"/>
    <w:rsid w:val="00407B60"/>
    <w:rsid w:val="00415A95"/>
    <w:rsid w:val="00420AF5"/>
    <w:rsid w:val="00455426"/>
    <w:rsid w:val="00470706"/>
    <w:rsid w:val="00476E2A"/>
    <w:rsid w:val="004908F7"/>
    <w:rsid w:val="004A7A89"/>
    <w:rsid w:val="004B65F5"/>
    <w:rsid w:val="004F662D"/>
    <w:rsid w:val="00531BB9"/>
    <w:rsid w:val="00534979"/>
    <w:rsid w:val="005723E0"/>
    <w:rsid w:val="00585546"/>
    <w:rsid w:val="0058702E"/>
    <w:rsid w:val="005A0359"/>
    <w:rsid w:val="005C046E"/>
    <w:rsid w:val="005D023A"/>
    <w:rsid w:val="005F7431"/>
    <w:rsid w:val="005F7654"/>
    <w:rsid w:val="00614847"/>
    <w:rsid w:val="00633C7D"/>
    <w:rsid w:val="00645028"/>
    <w:rsid w:val="00647DD0"/>
    <w:rsid w:val="00656510"/>
    <w:rsid w:val="006C31E1"/>
    <w:rsid w:val="006C5204"/>
    <w:rsid w:val="006C6B1F"/>
    <w:rsid w:val="006E4D9B"/>
    <w:rsid w:val="006F0AEF"/>
    <w:rsid w:val="006F6E16"/>
    <w:rsid w:val="00727F55"/>
    <w:rsid w:val="007330D0"/>
    <w:rsid w:val="007501B0"/>
    <w:rsid w:val="00752050"/>
    <w:rsid w:val="007618E2"/>
    <w:rsid w:val="00771C90"/>
    <w:rsid w:val="007C5C9C"/>
    <w:rsid w:val="007C6B47"/>
    <w:rsid w:val="007F00AE"/>
    <w:rsid w:val="007F5518"/>
    <w:rsid w:val="00802B32"/>
    <w:rsid w:val="00825F20"/>
    <w:rsid w:val="00851B04"/>
    <w:rsid w:val="008568EC"/>
    <w:rsid w:val="0086397F"/>
    <w:rsid w:val="00892073"/>
    <w:rsid w:val="008B2C04"/>
    <w:rsid w:val="008C0D87"/>
    <w:rsid w:val="008C7156"/>
    <w:rsid w:val="008D57F5"/>
    <w:rsid w:val="008F0573"/>
    <w:rsid w:val="008F6243"/>
    <w:rsid w:val="009130DC"/>
    <w:rsid w:val="00922475"/>
    <w:rsid w:val="009378E6"/>
    <w:rsid w:val="009809F9"/>
    <w:rsid w:val="009B06AE"/>
    <w:rsid w:val="009B55EC"/>
    <w:rsid w:val="009C0540"/>
    <w:rsid w:val="009D11B6"/>
    <w:rsid w:val="009D7BB0"/>
    <w:rsid w:val="009E00E3"/>
    <w:rsid w:val="009E7785"/>
    <w:rsid w:val="009F425F"/>
    <w:rsid w:val="009F5049"/>
    <w:rsid w:val="009F7D17"/>
    <w:rsid w:val="00A25247"/>
    <w:rsid w:val="00A324DC"/>
    <w:rsid w:val="00A51E5A"/>
    <w:rsid w:val="00A62458"/>
    <w:rsid w:val="00A71626"/>
    <w:rsid w:val="00AA3597"/>
    <w:rsid w:val="00AA6BE9"/>
    <w:rsid w:val="00AF7F38"/>
    <w:rsid w:val="00B12424"/>
    <w:rsid w:val="00B174AC"/>
    <w:rsid w:val="00B21323"/>
    <w:rsid w:val="00B25860"/>
    <w:rsid w:val="00B40C75"/>
    <w:rsid w:val="00B45C12"/>
    <w:rsid w:val="00B57F65"/>
    <w:rsid w:val="00B73A1B"/>
    <w:rsid w:val="00B82262"/>
    <w:rsid w:val="00B92F26"/>
    <w:rsid w:val="00BA37EF"/>
    <w:rsid w:val="00BA596B"/>
    <w:rsid w:val="00BA6C8B"/>
    <w:rsid w:val="00BC2A91"/>
    <w:rsid w:val="00BC2C97"/>
    <w:rsid w:val="00BC3576"/>
    <w:rsid w:val="00BC414B"/>
    <w:rsid w:val="00BD6E10"/>
    <w:rsid w:val="00BF3C46"/>
    <w:rsid w:val="00C11E1C"/>
    <w:rsid w:val="00C25D96"/>
    <w:rsid w:val="00C30093"/>
    <w:rsid w:val="00C34C81"/>
    <w:rsid w:val="00C43750"/>
    <w:rsid w:val="00C51C47"/>
    <w:rsid w:val="00C557FB"/>
    <w:rsid w:val="00C6069E"/>
    <w:rsid w:val="00C61972"/>
    <w:rsid w:val="00C71658"/>
    <w:rsid w:val="00C73E9C"/>
    <w:rsid w:val="00C74A57"/>
    <w:rsid w:val="00C80F6A"/>
    <w:rsid w:val="00C94F63"/>
    <w:rsid w:val="00CE203F"/>
    <w:rsid w:val="00CE3E44"/>
    <w:rsid w:val="00CF18B3"/>
    <w:rsid w:val="00D04E32"/>
    <w:rsid w:val="00D41B2B"/>
    <w:rsid w:val="00D41E15"/>
    <w:rsid w:val="00D66F33"/>
    <w:rsid w:val="00DA2BC2"/>
    <w:rsid w:val="00DA361A"/>
    <w:rsid w:val="00DB6548"/>
    <w:rsid w:val="00DF6137"/>
    <w:rsid w:val="00E22BFC"/>
    <w:rsid w:val="00E32EB8"/>
    <w:rsid w:val="00E35C45"/>
    <w:rsid w:val="00E400F1"/>
    <w:rsid w:val="00E54EF5"/>
    <w:rsid w:val="00E56A78"/>
    <w:rsid w:val="00E81F7F"/>
    <w:rsid w:val="00E87505"/>
    <w:rsid w:val="00E934E2"/>
    <w:rsid w:val="00E93B7C"/>
    <w:rsid w:val="00E93F47"/>
    <w:rsid w:val="00E94DBF"/>
    <w:rsid w:val="00EB3057"/>
    <w:rsid w:val="00ED64B5"/>
    <w:rsid w:val="00EE0345"/>
    <w:rsid w:val="00EE6FEE"/>
    <w:rsid w:val="00F0734A"/>
    <w:rsid w:val="00F07889"/>
    <w:rsid w:val="00F07DD9"/>
    <w:rsid w:val="00F124DF"/>
    <w:rsid w:val="00F166A1"/>
    <w:rsid w:val="00F17580"/>
    <w:rsid w:val="00F41D84"/>
    <w:rsid w:val="00F534CC"/>
    <w:rsid w:val="00F67BD2"/>
    <w:rsid w:val="00F71459"/>
    <w:rsid w:val="00F73BDA"/>
    <w:rsid w:val="00F76313"/>
    <w:rsid w:val="00F911D3"/>
    <w:rsid w:val="00F948DD"/>
    <w:rsid w:val="00F95409"/>
    <w:rsid w:val="00FA0D21"/>
    <w:rsid w:val="00FA22B5"/>
    <w:rsid w:val="00FC25D4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7F1E35"/>
  <w15:docId w15:val="{3520344F-B50F-4ED2-AE46-770515A8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30D0"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A7A89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4A7A89"/>
    <w:rPr>
      <w:rFonts w:ascii="Calibri" w:eastAsia="Calibri" w:hAnsi="Calibri" w:cs="Times New Roman"/>
      <w:sz w:val="20"/>
      <w:szCs w:val="20"/>
    </w:rPr>
  </w:style>
  <w:style w:type="paragraph" w:styleId="Lijstalinea">
    <w:name w:val="List Paragraph"/>
    <w:basedOn w:val="Standaard"/>
    <w:uiPriority w:val="34"/>
    <w:qFormat/>
    <w:rsid w:val="004A7A89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4A7A89"/>
    <w:rPr>
      <w:sz w:val="16"/>
      <w:szCs w:val="16"/>
    </w:rPr>
  </w:style>
  <w:style w:type="character" w:styleId="Zwaar">
    <w:name w:val="Strong"/>
    <w:uiPriority w:val="22"/>
    <w:qFormat/>
    <w:rsid w:val="004A7A89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A7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A7A89"/>
    <w:rPr>
      <w:rFonts w:ascii="Tahoma" w:eastAsia="Calibri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4A7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4A7A89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4A7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4A7A89"/>
    <w:rPr>
      <w:rFonts w:ascii="Calibri" w:eastAsia="Calibri" w:hAnsi="Calibri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6F33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66F3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DCA0ED88F93438282F28A62A8747F" ma:contentTypeVersion="19" ma:contentTypeDescription="Crée un document." ma:contentTypeScope="" ma:versionID="00585c0c11830b041aafde94476ef5ce">
  <xsd:schema xmlns:xsd="http://www.w3.org/2001/XMLSchema" xmlns:xs="http://www.w3.org/2001/XMLSchema" xmlns:p="http://schemas.microsoft.com/office/2006/metadata/properties" xmlns:ns2="bf004529-2f6a-476b-a6ad-fa1d2f1f8ab5" xmlns:ns3="068672c6-d552-4fff-a984-41d8b7b799ba" targetNamespace="http://schemas.microsoft.com/office/2006/metadata/properties" ma:root="true" ma:fieldsID="a91db78e06e0e0677626fcb406d06e4b" ns2:_="" ns3:_="">
    <xsd:import namespace="bf004529-2f6a-476b-a6ad-fa1d2f1f8ab5"/>
    <xsd:import namespace="068672c6-d552-4fff-a984-41d8b7b79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04529-2f6a-476b-a6ad-fa1d2f1f8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31c3e0aa-2358-4e27-9bd2-e4bfecf9c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672c6-d552-4fff-a984-41d8b7b799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906e586-1be9-4aad-bfd1-747fabce131b}" ma:internalName="TaxCatchAll" ma:showField="CatchAllData" ma:web="068672c6-d552-4fff-a984-41d8b7b79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8672c6-d552-4fff-a984-41d8b7b799ba" xsi:nil="true"/>
    <lcf76f155ced4ddcb4097134ff3c332f xmlns="bf004529-2f6a-476b-a6ad-fa1d2f1f8a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93392C-5312-427F-8916-7CD61A0D3FB0}"/>
</file>

<file path=customXml/itemProps2.xml><?xml version="1.0" encoding="utf-8"?>
<ds:datastoreItem xmlns:ds="http://schemas.openxmlformats.org/officeDocument/2006/customXml" ds:itemID="{A582C492-B036-481A-BADB-144DAACC32D5}"/>
</file>

<file path=customXml/itemProps3.xml><?xml version="1.0" encoding="utf-8"?>
<ds:datastoreItem xmlns:ds="http://schemas.openxmlformats.org/officeDocument/2006/customXml" ds:itemID="{38ECB245-EB5B-45F6-868F-D2CF688A30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1710</Characters>
  <Application>Microsoft Office Word</Application>
  <DocSecurity>4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RAPS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hsouerwine</dc:creator>
  <cp:lastModifiedBy>Malou Meuffels</cp:lastModifiedBy>
  <cp:revision>2</cp:revision>
  <cp:lastPrinted>2014-08-13T17:56:00Z</cp:lastPrinted>
  <dcterms:created xsi:type="dcterms:W3CDTF">2026-05-01T10:16:00Z</dcterms:created>
  <dcterms:modified xsi:type="dcterms:W3CDTF">2026-05-01T10:16:00Z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0x0101004A5DCA0ED88F93438282F28A62A8747F</vt:lpwstr>
  </property>
</Properties>
</file>